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RETTIFICHE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- CCNI - Mobilità personale delle scuola per il triennio 2019-22.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 merito al testo del CCNI allegato, l’Amministrazione Centrale ha precisato quanto segue: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1) </w:t>
        <w:tab/>
        <w:t xml:space="preserve">All’art 13 comma 2, il terzo capolettera è da intendersi sotto la lettera c) e non b);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2) </w:t>
        <w:tab/>
        <w:t xml:space="preserve">Nell’art. 5 gli ultimi 3 commi sono da intendersi contrassegnati con i numeri 11, 12 e 13.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3) </w:t>
        <w:tab/>
        <w:t xml:space="preserve">Nell’art. 8 comma 2, l’ultimo capoverso che inizia con le parole “Dalle predette disponibilità …[…]” è da </w:t>
        <w:tab/>
        <w:t xml:space="preserve">intendersi contrassegnato con la lettera d).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4) </w:t>
        <w:tab/>
        <w:t xml:space="preserve">Nell’allegato E, Lettera B1, il punteggio pari a punti 1 è da intendersi solo per i trasferimenti d’ufficio mentre </w:t>
        <w:tab/>
        <w:t xml:space="preserve">per </w:t>
        <w:tab/>
        <w:t xml:space="preserve">quelli a domanda il punteggio è pari a punti 2.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5) </w:t>
        <w:tab/>
        <w:t xml:space="preserve">Nell’art. 40, comma 2, il terzo capolettera è da intendersi sotto la lettera c) e non b).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6) </w:t>
        <w:tab/>
        <w:t xml:space="preserve">La nota 7 a pag. 87 del CCNI è così rettificata:” Ai fini della formulazione della graduatoria per </w:t>
        <w:tab/>
        <w:t xml:space="preserve">l’individuazione del soprannumerario, le esigenze di famiglia, da considerarsi in questo caso come esigenze </w:t>
        <w:tab/>
        <w:t xml:space="preserve">di </w:t>
        <w:tab/>
        <w:t xml:space="preserve">non allontanamento dalla scuola e dal comune di attuale titolarità sono valutate nella seguente maniera </w:t>
        <w:tab/>
        <w:t xml:space="preserve">[…]”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